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孟州市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  <w:t>全市政府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预算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left="-142" w:right="51" w:firstLine="30" w:firstLineChars="7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left="-142" w:right="51" w:firstLine="30" w:firstLineChars="7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  <w:t>目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pacing w:val="2"/>
          <w:sz w:val="44"/>
          <w:szCs w:val="44"/>
          <w:highlight w:val="non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  <w:t>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 2024年孟州市政府预算编制说明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第二章    孟州市一般公共预算收支情况说明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第三章 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第四章    孟州市社会保险基金预算收支情况说明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第五章    孟州市国有资本经营预算收支情况说明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第六章    孟州市“三公”经费情况说明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第七章    孟州市政府性债务情况说明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sectPr>
          <w:pgSz w:w="11906" w:h="16838"/>
          <w:pgMar w:top="1440" w:right="144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第八章    孟州市预算公开附表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Chars="0" w:right="0" w:rightChars="0" w:firstLine="642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第一章   2024年孟州市政府预算编制说明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指导思想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以习近平新时代中国特色社会主义思想为指导，全面贯彻党的十九大和十九届历次全会精神，深入贯彻习近平总书记视察河南重要讲话重要指示，认真落实市委、市政府决策部署，锚定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两个确保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，实施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十大战略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坚持稳字当头、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稳中求进工作总基调，统筹疫情防控和经济社会发展，扎实做好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六稳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六保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工作，推动落实积极的财政政策提质增效、更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加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可持续；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坚决落实过紧日子的各项要求，勤俭节约办一切事业，进一步严格财政支出管理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；加强地方政府债务管理，切实防范化解财政金融风险，促进经济社会持续健康发展。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cs="Times New Roman"/>
          <w:b/>
          <w:bCs/>
          <w:color w:val="333333"/>
          <w:spacing w:val="0"/>
          <w:w w:val="100"/>
          <w:sz w:val="24"/>
          <w:highlight w:val="none"/>
          <w:shd w:val="clear" w:color="auto" w:fill="FFFFFF"/>
        </w:rPr>
      </w:pPr>
      <w:r>
        <w:rPr>
          <w:rFonts w:hint="eastAsia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二、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编制</w:t>
      </w:r>
      <w:r>
        <w:rPr>
          <w:rFonts w:hint="eastAsia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基本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原则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统筹兼顾</w:t>
      </w: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，突出重点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。加强财政资金、资产、资源统筹力度，优化支出结构，全力保障国家、省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、市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重大战略部署和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孟州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市委、市政府重点工作。将过紧日子理念贯穿到预算编制、执行、监督全过程，真正将资金用在发展紧要处、民生急用上。严格落实各项减税降费政策，积极稳妥安排收入预算。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强化管理</w:t>
      </w: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，硬化约束。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坚持预算法定，严肃财经纪律，更加注重强化约束，维护法律的权威性和制度的刚性约束力。推进预算管理一体化建设，将管理规则嵌入信息系统，构建现代信息技术条件下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制度+技术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的管理机制，全面提升预算管理规范化、标准化和自动化水平。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守住底线、安全持续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。把防风险摆在更加突出的位置，统筹发展和安全、当前和长远，杜绝脱离实际的过高承诺。加强政府债务和中长期支出事项管理，坚持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三保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支出在财政支出中的优先顺序，加强运行监测，牢牢守住不发生系统性风险的底线，保障经济社会平稳运行。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before="8" w:line="600" w:lineRule="exact"/>
        <w:ind w:left="3" w:firstLine="618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highlight w:val="none"/>
        </w:rPr>
        <w:t>注重绩效、提升效能</w:t>
      </w:r>
      <w:r>
        <w:rPr>
          <w:rFonts w:hint="eastAsia" w:ascii="仿宋_GB2312" w:hAnsi="仿宋_GB2312" w:eastAsia="仿宋_GB2312" w:cs="仿宋_GB2312"/>
          <w:color w:val="333333"/>
          <w:spacing w:val="0"/>
          <w:w w:val="100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  <w:t>持续全面实施预算绩效管理,牢固树立绩效理念,将绩效管理实质嵌入预算管理,通过实施项目全过程预算绩效管理,切实推进绩效管理提质增效。推进运用成本效益分析等方法研究开展预算安排事前绩效评估,增强项目立项和预算安排的科学性。加强财政扶持政策绩效评价,强化评价结果应用,着力提高财政资源配置效率和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Chars="0" w:right="0" w:rightChars="0" w:firstLine="642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</w:pP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  <w:lang w:val="en-US" w:eastAsia="zh-CN"/>
        </w:rPr>
        <w:t xml:space="preserve"> 孟州市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  <w:t>一般公共预算收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  <w:lang w:eastAsia="zh-CN"/>
        </w:rPr>
        <w:t>支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  <w:t>情况说明</w:t>
      </w:r>
    </w:p>
    <w:p>
      <w:pPr>
        <w:pStyle w:val="2"/>
        <w:numPr>
          <w:ilvl w:val="0"/>
          <w:numId w:val="0"/>
        </w:numPr>
        <w:ind w:left="420" w:leftChars="0" w:right="0" w:rightChars="0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 xml:space="preserve">    一、地方一般公共预算总收入安排情况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（一）地方一般公共预算收入安排情况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158000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110600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47400万元，较上年完成数下降12%。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44300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textAlignment w:val="auto"/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6700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eastAsia="zh-CN"/>
        </w:rPr>
        <w:t>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上年决算（执行数）基本持平。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个人所得税2180万元，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5200万元，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220万元，较上年决算（执行数）增长6%。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52000万元，较上年决算（执行数）增长11%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600" w:lineRule="exact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（二）上级补助收入项目情况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72758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63241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1770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63241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15654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4622万元、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145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1559万元、固定数额补助14470万元、巩固脱贫攻坚成果衔接乡村振兴转移支付资金1683万元、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961万元、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6290万元、文化旅游体育与传媒共同财政事权转移支付收入544万元、社会保障和就业共同财政事权转移支付收7949万元、医疗卫生共同财政事权转移支付收入3854万元、节能环保共同财政事权转移支付资金8万元、农林水共同财政事权转移支付收入5282万元、交通运输共同财政事权转移支付收入56万元、住房保障共同财政事权转移支付资金164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1770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社会保障和就业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138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节能环保569万元、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1061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、灾害防治及应急管理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（三）其他收入情况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11800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54135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，调入资金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10300万元。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，地方级一般公共预算收入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158000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281100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，比去年决算（执行数）增长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eastAsia="zh-CN"/>
        </w:rPr>
        <w:t>2024年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孟州市一般公共预算支出情况的说明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default" w:ascii="仿宋" w:hAnsi="仿宋" w:eastAsia="仿宋" w:cs="宋体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2811</w:t>
      </w:r>
      <w:bookmarkStart w:id="0" w:name="_GoBack"/>
      <w:bookmarkEnd w:id="0"/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250190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30500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，地方政府一般债务还本支出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410万元。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  <w:t>（一）地方级主要支出安排情况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一般公共预算支出250190万元，为上年预算数的82.3%。其中：人员和公用经费等基本支出88903万元，占比35.5%；项目支出161287万元，占比64.5%。主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要支出功能科目是：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48785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74.5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9606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79.9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48451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87.7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3878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1351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72.1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37750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98.8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26692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119.3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3747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45.4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11878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33572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71.8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5931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102.1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31.9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1645万元，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89.9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15、住房保障支出6309万元，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128.4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401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72.5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1720万元，为上年预算数的74.9%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480" w:firstLineChars="150"/>
        <w:textAlignment w:val="auto"/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18、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5447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96.4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节能环保、资源勘探、商业服务业等科目支出占上年预算数比例较低的主要原因是：提前告知一次性项目减少。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482" w:firstLineChars="15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 xml:space="preserve"> 2024年预计上解支出30500万元，主要为省与市县财政体制改革上解-1625万元，其他省市税收分成、地税部门增量等各项上解32125万元。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bidi w:val="0"/>
        <w:spacing w:before="0" w:beforeAutospacing="0" w:after="0" w:afterAutospacing="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red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第三章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政府性基金收入情况说明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157434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下降3.5%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其中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36700万元，上级补助收入4418万元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，上年结转收入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116316万元。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43" w:firstLineChars="20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36700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增长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266.4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主要收入项目是：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1、国有土地收益基金收入安排200万元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国有土地使用权出让收入安排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33200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4、城市基础设施配套费收入安排1000万元；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6、专项债券对应项目专项收入安排1000万元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4418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4341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支持社会事业发展专项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、文化旅游体育与传媒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116316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2024年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政府性基金支出情况说明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24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2024年政府性基金预算总支出安排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157434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136696万元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20000万元，专项债务还本支出688万元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12956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，主要用于大中型水库移民后期扶持。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7701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被征地农民、公共租赁住房、污水处理费等项目。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454万元，主要用于水利移民扶持项目。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106573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地方自行试点项目收益专项债券收入安排的支出、社会福利、残疾人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9011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第四章    孟州市社会保险基金预算收支情况说明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我市社会保险基金预算收支安排情况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，我市社会保险基金预算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95850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本年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37529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万元，年末滚存结余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58321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（一）社会保险基金收入情况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本级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收入主要包括：保险缴费收入、利息收入、财政补贴收入等。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预计收入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43365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万元，分项是：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19993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23372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（二）社会保险基金支出情况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社会保险支出主要包括：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基础养老金支出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、个人账户养老金支出、转移支出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丧葬费支出，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预计支出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37529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万元，支出项目是：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14158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23371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right="521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第五章   孟州市国有资本经营预算收支情况说明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spacing w:before="0" w:after="0"/>
        <w:ind w:leftChars="200" w:right="0" w:rightChars="0"/>
        <w:textAlignment w:val="auto"/>
        <w:outlineLvl w:val="9"/>
        <w:rPr>
          <w:rFonts w:hint="eastAsia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2024年孟州市国有资本经营预算总收入为199万元，其中：本级收入60万元，上级转移支付收入为30万元，上年结转109万元。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2024年孟州市国有资本经营预算支出为199万元，其中：用于国有企业退休人员社会化管理补助支出90万元、调出资金109万元。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第六章     孟州市“三公”经费预算安排情况说明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ind w:leftChars="200" w:right="0" w:rightChars="0"/>
        <w:textAlignment w:val="auto"/>
        <w:rPr>
          <w:rFonts w:hint="eastAsia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58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全市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部门预算，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2024年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889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预算下降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9.9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，支出减少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98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其中：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因公出国（境）费15万元，2024年新增加因公出国（境）业务。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公务接待安排348万元，比2023年下降7.4%，减少支出28万元，下降主要原因是严格执行八项规定，压缩公务活动接待。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526万元，比2023年下降13.9%,减少支出85万元。其中：车辆购置170万元，比2023年下降31.5%，减少78万元,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原因是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2024年新购置公务用车数量减少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356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2023年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1.9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,减少支出7万元，主要原因是严格控制使用公务用车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第七章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孟州市政府性债务相关情况说明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2023年末，我市政府债务总限额为448280万元，其中：一般债务限额176880万元，专项债务限额271400万元；我市地方政府性债务总规模445630万元，其中一般债务175977万元，专项债务269653万元。综上所述，我市地方债务规模严格控制在规定限额之内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 xml:space="preserve">1、2023年末一般债务限额情况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2022年末上级核定我市一般债务总限额为198361万元，加上2023年当年新增一般债务限额4119万元，减去2023年收回一般债务限额25600万元，2023年末我市一般债务限额为176880万元。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2、2023年末一般债务余额情况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我市地方政府性一般债务余额172174万元，加上2023年当年新增一般债券46719万元，减去2023年一般债务还本支出42916万元，2023年末我市一般债务余额为175977万元。我市地方一般债务规模严格控制在规定限额之内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二、专项债务限额和余额情况说明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 xml:space="preserve">1、2023年末专项债务限额情况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2022年末上级核定我市专项债务总限额为236700万元，加上2023年当年新增专项债务限额39100万元，减去2023年收回专项债务限额4400万元，2023年末我市专项债务限额为271400万元。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2、2023年末专项债务余额情况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2022年末我市地方政府性专项债务余额231523元，加上2023年当年新增专项债券53570万元，减去当年还本支出15440万元，2023年末专项债务余额为269653元。我市地方政府专项债务规模严格控制在规定限额之内。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第八章    孟州市人民政府预算公开附表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2024年孟州市一般公共预算收支预算情况总表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表二：2024年全市一般公共预算本级收入预算总表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表三：2024年全市一般公共预算本级支出预算表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表四：2024年全市一般公共预算支出明细表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表五：2024年全市一般公共预算基本支出经济分类情况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表六：2024年全市一般公共预算税收返还和转移支付表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七: 2024年全市政府性基金收支预算情况总表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  <w:t>全市政府性基金预算收入预算表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表九: 2024年政府性基金预算支出明细表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  <w:t>全市政府性基金转移支付预算表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  <w:t>表十一：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2024年社会保险基金预算收入表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  <w:t>表十二：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2024年社会保险基金预算支出表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表十三：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2024年全市国有资本经营预算收入表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表十四：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2024年全市国有资本经营预算支出表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表十五：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2024年孟州市国有资本经营预算转移支付表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表十六：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2024年一般公共预算“三公”经费预算表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表十七：2024年孟州市一般债务限额余额情况表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 xml:space="preserve">表十八: 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2024年孟州市专项债务限额余额情况表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autoSpaceDE/>
        <w:bidi w:val="0"/>
        <w:spacing w:before="0" w:after="0" w:line="600" w:lineRule="exact"/>
        <w:jc w:val="both"/>
        <w:textAlignment w:val="auto"/>
        <w:outlineLvl w:val="9"/>
        <w:rPr>
          <w:rFonts w:hint="eastAsia"/>
          <w:highlight w:val="none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448A4C"/>
    <w:multiLevelType w:val="singleLevel"/>
    <w:tmpl w:val="64448A4C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NzAxNDgxM2QxNjE3OTY3YTkxMTY3ZjAzMDFjZGQifQ=="/>
  </w:docVars>
  <w:rsids>
    <w:rsidRoot w:val="36C43173"/>
    <w:rsid w:val="01F776D3"/>
    <w:rsid w:val="02880FCB"/>
    <w:rsid w:val="02C90B76"/>
    <w:rsid w:val="02E94C90"/>
    <w:rsid w:val="03245CC9"/>
    <w:rsid w:val="03263B83"/>
    <w:rsid w:val="034D28A3"/>
    <w:rsid w:val="04374931"/>
    <w:rsid w:val="053E4A03"/>
    <w:rsid w:val="0540318A"/>
    <w:rsid w:val="054756C4"/>
    <w:rsid w:val="06FA06E7"/>
    <w:rsid w:val="08FD6983"/>
    <w:rsid w:val="099A47BF"/>
    <w:rsid w:val="09DE0604"/>
    <w:rsid w:val="0A2A16A3"/>
    <w:rsid w:val="0AF40469"/>
    <w:rsid w:val="0C793DE3"/>
    <w:rsid w:val="0CDC0607"/>
    <w:rsid w:val="0D144201"/>
    <w:rsid w:val="0DCF7188"/>
    <w:rsid w:val="0E206200"/>
    <w:rsid w:val="0F622D2A"/>
    <w:rsid w:val="0F9336A6"/>
    <w:rsid w:val="10987314"/>
    <w:rsid w:val="121228C8"/>
    <w:rsid w:val="124F7DA7"/>
    <w:rsid w:val="14D4448D"/>
    <w:rsid w:val="14E11A16"/>
    <w:rsid w:val="14F405E4"/>
    <w:rsid w:val="160C1A8B"/>
    <w:rsid w:val="1620152F"/>
    <w:rsid w:val="16974D12"/>
    <w:rsid w:val="170F5EBE"/>
    <w:rsid w:val="17682DE3"/>
    <w:rsid w:val="177F4D23"/>
    <w:rsid w:val="18E53215"/>
    <w:rsid w:val="1A3A5F3C"/>
    <w:rsid w:val="1A3D74C1"/>
    <w:rsid w:val="1A627B6B"/>
    <w:rsid w:val="1A954EA6"/>
    <w:rsid w:val="1B51304C"/>
    <w:rsid w:val="1BF7377F"/>
    <w:rsid w:val="1CA93B54"/>
    <w:rsid w:val="1D19328F"/>
    <w:rsid w:val="1D2E59B7"/>
    <w:rsid w:val="1EA3393E"/>
    <w:rsid w:val="1EDD385F"/>
    <w:rsid w:val="1FDD7CEF"/>
    <w:rsid w:val="20071342"/>
    <w:rsid w:val="20256A90"/>
    <w:rsid w:val="20C34870"/>
    <w:rsid w:val="215E4AE2"/>
    <w:rsid w:val="216C778F"/>
    <w:rsid w:val="2437337B"/>
    <w:rsid w:val="24A3273B"/>
    <w:rsid w:val="24A678B8"/>
    <w:rsid w:val="25764191"/>
    <w:rsid w:val="26FD1602"/>
    <w:rsid w:val="2726581F"/>
    <w:rsid w:val="27D20C09"/>
    <w:rsid w:val="27FA12DE"/>
    <w:rsid w:val="28AD70E4"/>
    <w:rsid w:val="294803FE"/>
    <w:rsid w:val="2B8539BD"/>
    <w:rsid w:val="2B907346"/>
    <w:rsid w:val="2C4331E6"/>
    <w:rsid w:val="2C4A1A41"/>
    <w:rsid w:val="2D26469B"/>
    <w:rsid w:val="2DC57BC6"/>
    <w:rsid w:val="2EF24DBC"/>
    <w:rsid w:val="2EFA2DE8"/>
    <w:rsid w:val="2FB27ED2"/>
    <w:rsid w:val="308F14F4"/>
    <w:rsid w:val="30B21CEC"/>
    <w:rsid w:val="31647700"/>
    <w:rsid w:val="31DE5565"/>
    <w:rsid w:val="334D4569"/>
    <w:rsid w:val="34660535"/>
    <w:rsid w:val="35605D34"/>
    <w:rsid w:val="35733E82"/>
    <w:rsid w:val="36C43173"/>
    <w:rsid w:val="36F2744E"/>
    <w:rsid w:val="37A852B1"/>
    <w:rsid w:val="394F62E5"/>
    <w:rsid w:val="39B14056"/>
    <w:rsid w:val="39B21AF3"/>
    <w:rsid w:val="3A032C4B"/>
    <w:rsid w:val="3BAB6A3B"/>
    <w:rsid w:val="3CEA0150"/>
    <w:rsid w:val="3D316571"/>
    <w:rsid w:val="3D405F28"/>
    <w:rsid w:val="3E5B4BF4"/>
    <w:rsid w:val="3EBB6A19"/>
    <w:rsid w:val="416E75DC"/>
    <w:rsid w:val="41CA69AF"/>
    <w:rsid w:val="41EA6571"/>
    <w:rsid w:val="45050155"/>
    <w:rsid w:val="46F3535C"/>
    <w:rsid w:val="46FD78E0"/>
    <w:rsid w:val="47C2595A"/>
    <w:rsid w:val="48A25503"/>
    <w:rsid w:val="4C0B2484"/>
    <w:rsid w:val="4E0648D2"/>
    <w:rsid w:val="4E8F495B"/>
    <w:rsid w:val="4EDC1E3B"/>
    <w:rsid w:val="4F094309"/>
    <w:rsid w:val="501739F6"/>
    <w:rsid w:val="51404248"/>
    <w:rsid w:val="52251553"/>
    <w:rsid w:val="522C734E"/>
    <w:rsid w:val="5362780A"/>
    <w:rsid w:val="53B17AD8"/>
    <w:rsid w:val="53C650C4"/>
    <w:rsid w:val="54D26144"/>
    <w:rsid w:val="54F31370"/>
    <w:rsid w:val="55251B9B"/>
    <w:rsid w:val="58E660B7"/>
    <w:rsid w:val="59293748"/>
    <w:rsid w:val="5AD1683E"/>
    <w:rsid w:val="5BA81260"/>
    <w:rsid w:val="5BEB7851"/>
    <w:rsid w:val="5BED235E"/>
    <w:rsid w:val="5C8239C9"/>
    <w:rsid w:val="5CEB0CF7"/>
    <w:rsid w:val="5E2C5EEC"/>
    <w:rsid w:val="60386957"/>
    <w:rsid w:val="61166D7A"/>
    <w:rsid w:val="61D63DD9"/>
    <w:rsid w:val="631B5B79"/>
    <w:rsid w:val="641E0553"/>
    <w:rsid w:val="642568F2"/>
    <w:rsid w:val="643864CB"/>
    <w:rsid w:val="651A6E17"/>
    <w:rsid w:val="653A6C3E"/>
    <w:rsid w:val="659F438B"/>
    <w:rsid w:val="65CF63A9"/>
    <w:rsid w:val="669B434B"/>
    <w:rsid w:val="67D0487F"/>
    <w:rsid w:val="680E1E96"/>
    <w:rsid w:val="684D6B79"/>
    <w:rsid w:val="69C43A35"/>
    <w:rsid w:val="6A1A6DED"/>
    <w:rsid w:val="6B2E6E5E"/>
    <w:rsid w:val="6DA63B47"/>
    <w:rsid w:val="6DCA6C71"/>
    <w:rsid w:val="6E8E17A6"/>
    <w:rsid w:val="6F237975"/>
    <w:rsid w:val="70304D79"/>
    <w:rsid w:val="708917B4"/>
    <w:rsid w:val="714E4CFD"/>
    <w:rsid w:val="71A566B9"/>
    <w:rsid w:val="71C163E6"/>
    <w:rsid w:val="71C202F6"/>
    <w:rsid w:val="728745C7"/>
    <w:rsid w:val="74172F92"/>
    <w:rsid w:val="744352BB"/>
    <w:rsid w:val="75723D10"/>
    <w:rsid w:val="77105E98"/>
    <w:rsid w:val="771B1325"/>
    <w:rsid w:val="772824F9"/>
    <w:rsid w:val="78BD078C"/>
    <w:rsid w:val="7A0623A8"/>
    <w:rsid w:val="7B5B3620"/>
    <w:rsid w:val="7C066472"/>
    <w:rsid w:val="7C27437D"/>
    <w:rsid w:val="7C5C2B99"/>
    <w:rsid w:val="7CD545EA"/>
    <w:rsid w:val="7D8D113E"/>
    <w:rsid w:val="7E75265F"/>
    <w:rsid w:val="7F375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autoRedefine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</Pages>
  <Words>3888</Words>
  <Characters>4713</Characters>
  <Lines>0</Lines>
  <Paragraphs>0</Paragraphs>
  <TotalTime>5</TotalTime>
  <ScaleCrop>false</ScaleCrop>
  <LinksUpToDate>false</LinksUpToDate>
  <CharactersWithSpaces>4798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初见</cp:lastModifiedBy>
  <cp:lastPrinted>2022-05-16T10:59:00Z</cp:lastPrinted>
  <dcterms:modified xsi:type="dcterms:W3CDTF">2024-03-20T08:35:45Z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1913A33CEDA74A83B522174654695095</vt:lpwstr>
  </property>
</Properties>
</file>